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79F" w:rsidRPr="00750B07" w:rsidRDefault="0066379F" w:rsidP="0066379F">
      <w:pPr>
        <w:jc w:val="center"/>
        <w:rPr>
          <w:rFonts w:ascii="黑体" w:eastAsia="黑体"/>
          <w:b/>
          <w:kern w:val="0"/>
          <w:sz w:val="30"/>
          <w:szCs w:val="30"/>
        </w:rPr>
      </w:pPr>
      <w:r w:rsidRPr="00750B07">
        <w:rPr>
          <w:rFonts w:ascii="黑体" w:eastAsia="黑体" w:hint="eastAsia"/>
          <w:b/>
          <w:kern w:val="0"/>
          <w:sz w:val="30"/>
          <w:szCs w:val="30"/>
        </w:rPr>
        <w:t>《风险评估 》课程中英文简介</w:t>
      </w:r>
    </w:p>
    <w:p w:rsidR="0066379F" w:rsidRPr="0066379F" w:rsidRDefault="0066379F" w:rsidP="0066379F">
      <w:pPr>
        <w:jc w:val="center"/>
      </w:pPr>
    </w:p>
    <w:p w:rsidR="00C64702" w:rsidRDefault="00C64702" w:rsidP="00C64702">
      <w:pPr>
        <w:adjustRightInd w:val="0"/>
        <w:snapToGrid w:val="0"/>
        <w:spacing w:line="360" w:lineRule="auto"/>
        <w:jc w:val="center"/>
        <w:rPr>
          <w:rFonts w:ascii="Times New Roman" w:hAnsi="宋体"/>
          <w:sz w:val="28"/>
          <w:szCs w:val="28"/>
        </w:rPr>
      </w:pPr>
      <w:r w:rsidRPr="00C64702">
        <w:rPr>
          <w:rFonts w:ascii="Times New Roman" w:hAnsi="宋体"/>
          <w:sz w:val="28"/>
          <w:szCs w:val="28"/>
        </w:rPr>
        <w:t>R</w:t>
      </w:r>
      <w:r w:rsidRPr="00C64702">
        <w:rPr>
          <w:rFonts w:ascii="Times New Roman" w:hAnsi="宋体" w:hint="eastAsia"/>
          <w:sz w:val="28"/>
          <w:szCs w:val="28"/>
        </w:rPr>
        <w:t>isk Valuation</w:t>
      </w:r>
    </w:p>
    <w:p w:rsidR="0066379F" w:rsidRPr="00C64702" w:rsidRDefault="0066379F" w:rsidP="00C64702">
      <w:pPr>
        <w:adjustRightInd w:val="0"/>
        <w:snapToGrid w:val="0"/>
        <w:spacing w:line="360" w:lineRule="auto"/>
        <w:jc w:val="center"/>
        <w:rPr>
          <w:rFonts w:ascii="Times New Roman" w:hAnsi="宋体"/>
          <w:sz w:val="28"/>
          <w:szCs w:val="28"/>
        </w:rPr>
      </w:pPr>
    </w:p>
    <w:p w:rsidR="00C64702" w:rsidRDefault="00C64702" w:rsidP="00373E95">
      <w:pPr>
        <w:tabs>
          <w:tab w:val="left" w:pos="4111"/>
        </w:tabs>
        <w:adjustRightInd w:val="0"/>
        <w:snapToGrid w:val="0"/>
        <w:spacing w:line="360" w:lineRule="auto"/>
        <w:rPr>
          <w:rFonts w:ascii="Times New Roman" w:hAnsi="Times New Roman"/>
          <w:szCs w:val="21"/>
        </w:rPr>
      </w:pPr>
      <w:r>
        <w:rPr>
          <w:rFonts w:ascii="Times New Roman" w:eastAsia="黑体" w:hAnsi="宋体" w:hint="eastAsia"/>
          <w:szCs w:val="21"/>
        </w:rPr>
        <w:t>课程代码：</w:t>
      </w:r>
      <w:r w:rsidR="001F0385" w:rsidRPr="001F0385">
        <w:rPr>
          <w:rFonts w:ascii="Times New Roman" w:eastAsia="黑体" w:hAnsi="宋体"/>
          <w:szCs w:val="21"/>
        </w:rPr>
        <w:t>092242A</w:t>
      </w:r>
      <w:r>
        <w:rPr>
          <w:rFonts w:ascii="Times New Roman" w:hAnsi="Times New Roman"/>
          <w:szCs w:val="21"/>
        </w:rPr>
        <w:tab/>
      </w:r>
      <w:r>
        <w:rPr>
          <w:rFonts w:ascii="Times New Roman" w:eastAsia="黑体" w:hAnsi="Times New Roman"/>
          <w:b/>
          <w:szCs w:val="21"/>
        </w:rPr>
        <w:t>Course Code</w:t>
      </w:r>
      <w:r>
        <w:rPr>
          <w:rFonts w:ascii="Times New Roman" w:eastAsia="黑体" w:hAnsi="Times New Roman" w:hint="eastAsia"/>
          <w:b/>
          <w:szCs w:val="21"/>
        </w:rPr>
        <w:t>：</w:t>
      </w:r>
      <w:r w:rsidR="001F0385" w:rsidRPr="001F0385">
        <w:rPr>
          <w:rFonts w:ascii="Times New Roman" w:eastAsia="黑体" w:hAnsi="Times New Roman"/>
          <w:b/>
          <w:szCs w:val="21"/>
        </w:rPr>
        <w:t>092242A</w:t>
      </w:r>
    </w:p>
    <w:p w:rsidR="00C64702" w:rsidRDefault="00C64702" w:rsidP="00373E95">
      <w:pPr>
        <w:tabs>
          <w:tab w:val="left" w:pos="4111"/>
        </w:tabs>
        <w:adjustRightInd w:val="0"/>
        <w:snapToGrid w:val="0"/>
        <w:spacing w:line="360" w:lineRule="auto"/>
        <w:rPr>
          <w:rFonts w:ascii="Times New Roman" w:hAnsi="Times New Roman"/>
          <w:szCs w:val="21"/>
        </w:rPr>
      </w:pPr>
      <w:r w:rsidRPr="00C64702">
        <w:rPr>
          <w:rFonts w:ascii="Times New Roman" w:eastAsia="黑体" w:hAnsi="宋体" w:hint="eastAsia"/>
          <w:szCs w:val="21"/>
        </w:rPr>
        <w:t>课程名称：</w:t>
      </w:r>
      <w:r w:rsidRPr="00373E95">
        <w:rPr>
          <w:rFonts w:ascii="黑体" w:eastAsia="黑体" w:hint="eastAsia"/>
          <w:kern w:val="0"/>
          <w:szCs w:val="21"/>
        </w:rPr>
        <w:t>风险评估</w:t>
      </w:r>
      <w:r>
        <w:rPr>
          <w:rFonts w:ascii="Times New Roman" w:hAnsi="Times New Roman"/>
          <w:szCs w:val="21"/>
        </w:rPr>
        <w:tab/>
      </w:r>
      <w:r>
        <w:rPr>
          <w:rFonts w:ascii="Times New Roman" w:eastAsia="黑体" w:hAnsi="Times New Roman"/>
          <w:b/>
          <w:szCs w:val="21"/>
        </w:rPr>
        <w:t>Course Name</w:t>
      </w:r>
      <w:r>
        <w:rPr>
          <w:rFonts w:ascii="Times New Roman" w:eastAsia="黑体" w:hAnsi="Times New Roman" w:hint="eastAsia"/>
          <w:b/>
          <w:szCs w:val="21"/>
        </w:rPr>
        <w:t>：</w:t>
      </w:r>
      <w:r w:rsidRPr="00C64702">
        <w:rPr>
          <w:rFonts w:ascii="Times New Roman" w:hAnsi="宋体"/>
          <w:szCs w:val="21"/>
        </w:rPr>
        <w:t>R</w:t>
      </w:r>
      <w:r w:rsidRPr="00C64702">
        <w:rPr>
          <w:rFonts w:ascii="Times New Roman" w:hAnsi="宋体" w:hint="eastAsia"/>
          <w:szCs w:val="21"/>
        </w:rPr>
        <w:t>isk Valuation</w:t>
      </w:r>
    </w:p>
    <w:p w:rsidR="00C64702" w:rsidRDefault="00C64702" w:rsidP="00373E95">
      <w:pPr>
        <w:tabs>
          <w:tab w:val="left" w:pos="4111"/>
        </w:tabs>
        <w:adjustRightInd w:val="0"/>
        <w:snapToGrid w:val="0"/>
        <w:spacing w:line="360" w:lineRule="auto"/>
        <w:rPr>
          <w:rFonts w:ascii="Times New Roman" w:hAnsi="Times New Roman"/>
          <w:szCs w:val="21"/>
        </w:rPr>
      </w:pPr>
      <w:r w:rsidRPr="00373E95">
        <w:rPr>
          <w:rFonts w:ascii="黑体" w:eastAsia="黑体" w:hint="eastAsia"/>
        </w:rPr>
        <w:t>学    时：32</w:t>
      </w:r>
      <w:r>
        <w:rPr>
          <w:rFonts w:ascii="Times New Roman" w:hAnsi="Times New Roman"/>
          <w:szCs w:val="21"/>
        </w:rPr>
        <w:tab/>
      </w:r>
      <w:r>
        <w:rPr>
          <w:rFonts w:ascii="Times New Roman" w:eastAsia="黑体" w:hAnsi="Times New Roman"/>
          <w:b/>
          <w:szCs w:val="21"/>
        </w:rPr>
        <w:t>Periods</w:t>
      </w:r>
      <w:r>
        <w:rPr>
          <w:rFonts w:ascii="Times New Roman" w:eastAsia="黑体" w:hAnsi="Times New Roman" w:hint="eastAsia"/>
          <w:b/>
          <w:szCs w:val="21"/>
        </w:rPr>
        <w:t>：</w:t>
      </w:r>
      <w:r>
        <w:rPr>
          <w:rFonts w:ascii="Times New Roman" w:eastAsia="黑体" w:hAnsi="Times New Roman" w:hint="eastAsia"/>
          <w:b/>
          <w:szCs w:val="21"/>
        </w:rPr>
        <w:t>32</w:t>
      </w:r>
      <w:bookmarkStart w:id="0" w:name="_GoBack"/>
      <w:bookmarkEnd w:id="0"/>
    </w:p>
    <w:p w:rsidR="00C64702" w:rsidRDefault="00C64702" w:rsidP="00373E95">
      <w:pPr>
        <w:tabs>
          <w:tab w:val="left" w:pos="4111"/>
        </w:tabs>
        <w:adjustRightInd w:val="0"/>
        <w:snapToGrid w:val="0"/>
        <w:rPr>
          <w:rFonts w:ascii="Times New Roman" w:hAnsi="Times New Roman"/>
          <w:szCs w:val="21"/>
        </w:rPr>
      </w:pPr>
      <w:r w:rsidRPr="00373E95">
        <w:rPr>
          <w:rFonts w:ascii="黑体" w:eastAsia="黑体" w:hint="eastAsia"/>
        </w:rPr>
        <w:t>学    分：2</w:t>
      </w:r>
      <w:r>
        <w:rPr>
          <w:rFonts w:ascii="Times New Roman" w:hAnsi="Times New Roman"/>
          <w:szCs w:val="21"/>
        </w:rPr>
        <w:tab/>
      </w:r>
      <w:r>
        <w:rPr>
          <w:rFonts w:ascii="Times New Roman" w:eastAsia="黑体" w:hAnsi="Times New Roman"/>
          <w:b/>
          <w:szCs w:val="21"/>
        </w:rPr>
        <w:t>Credits</w:t>
      </w:r>
      <w:r>
        <w:rPr>
          <w:rFonts w:ascii="Times New Roman" w:eastAsia="黑体" w:hAnsi="Times New Roman" w:hint="eastAsia"/>
          <w:b/>
          <w:szCs w:val="21"/>
        </w:rPr>
        <w:t>：</w:t>
      </w:r>
      <w:r>
        <w:rPr>
          <w:rFonts w:ascii="Times New Roman" w:eastAsia="黑体" w:hAnsi="Times New Roman" w:hint="eastAsia"/>
          <w:b/>
          <w:szCs w:val="21"/>
        </w:rPr>
        <w:t>2</w:t>
      </w:r>
    </w:p>
    <w:p w:rsidR="00C64702" w:rsidRPr="00373E95" w:rsidRDefault="00C64702" w:rsidP="00373E95">
      <w:pPr>
        <w:tabs>
          <w:tab w:val="left" w:pos="4111"/>
        </w:tabs>
        <w:spacing w:line="360" w:lineRule="auto"/>
        <w:rPr>
          <w:rFonts w:ascii="Times New Roman" w:eastAsia="黑体" w:hAnsi="Times New Roman"/>
          <w:szCs w:val="21"/>
        </w:rPr>
      </w:pPr>
      <w:r w:rsidRPr="00373E95">
        <w:rPr>
          <w:rFonts w:ascii="黑体" w:eastAsia="黑体" w:hint="eastAsia"/>
        </w:rPr>
        <w:t>考核方式：考查</w:t>
      </w:r>
      <w:r>
        <w:rPr>
          <w:rFonts w:ascii="Times New Roman" w:hAnsi="Times New Roman"/>
          <w:szCs w:val="21"/>
        </w:rPr>
        <w:tab/>
      </w:r>
      <w:r w:rsidRPr="00373E95">
        <w:rPr>
          <w:rFonts w:ascii="Times New Roman" w:eastAsia="黑体" w:hAnsi="Times New Roman"/>
          <w:b/>
          <w:szCs w:val="21"/>
        </w:rPr>
        <w:t>Assessment</w:t>
      </w:r>
      <w:r w:rsidRPr="00373E95">
        <w:rPr>
          <w:rFonts w:ascii="Times New Roman" w:eastAsia="黑体" w:hAnsi="Times New Roman" w:hint="eastAsia"/>
          <w:b/>
          <w:szCs w:val="21"/>
        </w:rPr>
        <w:t>：</w:t>
      </w:r>
      <w:r w:rsidRPr="00373E95">
        <w:rPr>
          <w:rFonts w:ascii="Times New Roman" w:eastAsia="黑体" w:hAnsi="Times New Roman"/>
          <w:szCs w:val="21"/>
        </w:rPr>
        <w:t>inspection</w:t>
      </w:r>
    </w:p>
    <w:p w:rsidR="00C64702" w:rsidRDefault="00C64702" w:rsidP="00373E95">
      <w:pPr>
        <w:tabs>
          <w:tab w:val="left" w:pos="4111"/>
        </w:tabs>
        <w:adjustRightInd w:val="0"/>
        <w:snapToGrid w:val="0"/>
        <w:spacing w:line="360" w:lineRule="auto"/>
        <w:jc w:val="left"/>
        <w:rPr>
          <w:rFonts w:ascii="Times New Roman" w:hAnsi="Times New Roman"/>
          <w:szCs w:val="21"/>
        </w:rPr>
      </w:pPr>
      <w:r w:rsidRPr="00373E95">
        <w:rPr>
          <w:rFonts w:ascii="黑体" w:eastAsia="黑体" w:hint="eastAsia"/>
        </w:rPr>
        <w:t>先修课程：资产评估</w:t>
      </w:r>
      <w:r>
        <w:rPr>
          <w:rFonts w:ascii="Times New Roman" w:hAnsi="Times New Roman"/>
          <w:szCs w:val="21"/>
        </w:rPr>
        <w:tab/>
      </w:r>
      <w:r>
        <w:rPr>
          <w:rFonts w:ascii="Times New Roman" w:eastAsia="黑体" w:hAnsi="Times New Roman"/>
          <w:b/>
          <w:szCs w:val="21"/>
        </w:rPr>
        <w:t>Preparatory Courses</w:t>
      </w:r>
      <w:r>
        <w:rPr>
          <w:rFonts w:ascii="Times New Roman" w:eastAsia="黑体" w:hAnsi="Times New Roman" w:hint="eastAsia"/>
          <w:b/>
          <w:szCs w:val="21"/>
        </w:rPr>
        <w:t>：</w:t>
      </w:r>
      <w:r>
        <w:rPr>
          <w:rFonts w:ascii="Times New Roman" w:hAnsi="Times New Roman"/>
          <w:kern w:val="0"/>
          <w:position w:val="2"/>
          <w:szCs w:val="21"/>
        </w:rPr>
        <w:t>Assets Valuation</w:t>
      </w:r>
    </w:p>
    <w:p w:rsidR="00C64702" w:rsidRDefault="00C64702" w:rsidP="00C64702">
      <w:pPr>
        <w:tabs>
          <w:tab w:val="left" w:pos="6237"/>
        </w:tabs>
        <w:adjustRightInd w:val="0"/>
        <w:snapToGrid w:val="0"/>
        <w:spacing w:line="360" w:lineRule="auto"/>
        <w:ind w:firstLineChars="521" w:firstLine="1094"/>
        <w:jc w:val="left"/>
        <w:rPr>
          <w:rFonts w:ascii="Times New Roman" w:hAnsi="宋体"/>
          <w:szCs w:val="21"/>
        </w:rPr>
      </w:pPr>
      <w:r>
        <w:rPr>
          <w:rFonts w:ascii="Times New Roman" w:hAnsi="宋体"/>
          <w:szCs w:val="21"/>
        </w:rPr>
        <w:tab/>
      </w:r>
    </w:p>
    <w:p w:rsidR="00FA4DDE" w:rsidRPr="00BB1ECD" w:rsidRDefault="00FA4DDE" w:rsidP="00FA4DDE">
      <w:pPr>
        <w:spacing w:line="360" w:lineRule="auto"/>
        <w:ind w:firstLineChars="200" w:firstLine="420"/>
        <w:rPr>
          <w:rFonts w:ascii="宋体" w:hAnsi="宋体"/>
          <w:szCs w:val="21"/>
        </w:rPr>
      </w:pPr>
      <w:r w:rsidRPr="00BB1ECD">
        <w:rPr>
          <w:rFonts w:hint="eastAsia"/>
          <w:color w:val="000000"/>
          <w:szCs w:val="21"/>
        </w:rPr>
        <w:t>《风险评估》</w:t>
      </w:r>
      <w:r w:rsidRPr="00BB1ECD">
        <w:rPr>
          <w:rFonts w:ascii="宋体" w:hAnsi="宋体" w:hint="eastAsia"/>
          <w:szCs w:val="21"/>
        </w:rPr>
        <w:t>程是为我校资产评估专业开设的一门专业选修课程，通过对本课程学习使学生全面了解风险评估的准则和理论框架，探索风险评估理论与实践问题。教学中全面设置了</w:t>
      </w:r>
      <w:r w:rsidR="00136521" w:rsidRPr="00BB1ECD">
        <w:rPr>
          <w:rFonts w:hint="eastAsia"/>
          <w:szCs w:val="21"/>
        </w:rPr>
        <w:t>风险评估理论</w:t>
      </w:r>
      <w:r w:rsidRPr="00BB1ECD">
        <w:rPr>
          <w:rFonts w:hint="eastAsia"/>
          <w:szCs w:val="21"/>
        </w:rPr>
        <w:t>、</w:t>
      </w:r>
      <w:r w:rsidR="00136521" w:rsidRPr="00BB1ECD">
        <w:rPr>
          <w:rFonts w:ascii="宋体" w:hAnsi="宋体" w:hint="eastAsia"/>
          <w:szCs w:val="21"/>
        </w:rPr>
        <w:t>基本原理和基本评估分析方法等</w:t>
      </w:r>
      <w:r w:rsidRPr="00BB1ECD">
        <w:rPr>
          <w:rFonts w:ascii="宋体" w:hAnsi="宋体" w:hint="eastAsia"/>
          <w:szCs w:val="21"/>
        </w:rPr>
        <w:t>内容，通过对本课程的学习，为学生今后的进一步学习和今后工作实践奠定良好的专业知识基础。</w:t>
      </w:r>
    </w:p>
    <w:p w:rsidR="00FA4DDE" w:rsidRPr="00BB1ECD" w:rsidRDefault="00FA4DDE" w:rsidP="00FA4DDE">
      <w:pPr>
        <w:spacing w:line="360" w:lineRule="auto"/>
        <w:ind w:firstLineChars="200" w:firstLine="420"/>
        <w:rPr>
          <w:rFonts w:ascii="宋体" w:hAnsi="宋体"/>
          <w:szCs w:val="21"/>
        </w:rPr>
      </w:pPr>
      <w:r w:rsidRPr="00BB1ECD">
        <w:rPr>
          <w:rFonts w:hint="eastAsia"/>
          <w:color w:val="000000"/>
          <w:szCs w:val="21"/>
        </w:rPr>
        <w:t>《风险评估》</w:t>
      </w:r>
      <w:r w:rsidRPr="00BB1ECD">
        <w:rPr>
          <w:rFonts w:ascii="宋体" w:hAnsi="宋体" w:hint="eastAsia"/>
          <w:szCs w:val="21"/>
        </w:rPr>
        <w:t>课程是为培养从事评估机构工作的专业人才而设置的一门专业课。重点阐述了</w:t>
      </w:r>
      <w:r w:rsidRPr="00BB1ECD">
        <w:rPr>
          <w:rFonts w:hint="eastAsia"/>
          <w:szCs w:val="21"/>
        </w:rPr>
        <w:t>风险评估理论、风险识别、风险分析、风险评价、风险应对、风险评估组织与实施</w:t>
      </w:r>
      <w:r w:rsidRPr="00BB1ECD">
        <w:rPr>
          <w:rFonts w:ascii="宋体" w:hAnsi="宋体" w:hint="eastAsia"/>
          <w:szCs w:val="21"/>
        </w:rPr>
        <w:t>等内容。</w:t>
      </w:r>
    </w:p>
    <w:p w:rsidR="00BB1ECD" w:rsidRPr="00BB1ECD" w:rsidRDefault="00BB1ECD" w:rsidP="0066379F">
      <w:pPr>
        <w:widowControl/>
        <w:adjustRightInd w:val="0"/>
        <w:snapToGrid w:val="0"/>
        <w:spacing w:line="360" w:lineRule="auto"/>
        <w:jc w:val="left"/>
        <w:rPr>
          <w:rFonts w:ascii="Times New Roman" w:hAnsi="Times New Roman"/>
          <w:kern w:val="0"/>
          <w:szCs w:val="21"/>
        </w:rPr>
      </w:pPr>
    </w:p>
    <w:p w:rsidR="00BB1ECD" w:rsidRPr="001B3CBB" w:rsidRDefault="00BB1ECD" w:rsidP="00B57B31">
      <w:pPr>
        <w:widowControl/>
        <w:adjustRightInd w:val="0"/>
        <w:snapToGrid w:val="0"/>
        <w:spacing w:line="360" w:lineRule="auto"/>
        <w:ind w:firstLineChars="200" w:firstLine="420"/>
        <w:jc w:val="left"/>
        <w:rPr>
          <w:rFonts w:ascii="Times New Roman" w:hAnsi="Times New Roman"/>
          <w:szCs w:val="21"/>
        </w:rPr>
      </w:pPr>
      <w:r w:rsidRPr="001B3CBB">
        <w:rPr>
          <w:rFonts w:ascii="Times New Roman" w:hAnsi="Times New Roman"/>
          <w:szCs w:val="21"/>
        </w:rPr>
        <w:t>“Risk Valuation ”</w:t>
      </w:r>
      <w:r w:rsidRPr="001B3CBB">
        <w:rPr>
          <w:rFonts w:ascii="Times New Roman" w:hAnsi="Times New Roman"/>
          <w:kern w:val="0"/>
          <w:szCs w:val="21"/>
        </w:rPr>
        <w:t xml:space="preserve"> is a course of</w:t>
      </w:r>
      <w:r w:rsidRPr="001B3CBB">
        <w:rPr>
          <w:rStyle w:val="tgt1"/>
          <w:rFonts w:ascii="Times New Roman" w:hAnsi="Times New Roman"/>
          <w:color w:val="2E3033"/>
          <w:szCs w:val="21"/>
        </w:rPr>
        <w:t xml:space="preserve"> compulsory course for the asset appraisal of a professional elective course, through the study of this course makes students a thorough knowledge of the principles and theoretical framework of risk assessment, explore risk assessment theory and the practice question.The teaching of the comprehensive set of risk assessment theory, the basic principle and basic evaluation analysis method, etc, by learning this course, students for the future of the further study and work practice in the future to lay the good foundation of professional knowledge</w:t>
      </w:r>
    </w:p>
    <w:p w:rsidR="00BB1ECD" w:rsidRPr="001B3CBB" w:rsidRDefault="00BB1ECD" w:rsidP="00BB1ECD">
      <w:pPr>
        <w:widowControl/>
        <w:adjustRightInd w:val="0"/>
        <w:snapToGrid w:val="0"/>
        <w:spacing w:line="360" w:lineRule="auto"/>
        <w:ind w:firstLineChars="200" w:firstLine="420"/>
        <w:jc w:val="left"/>
        <w:rPr>
          <w:rFonts w:ascii="Times New Roman" w:hAnsi="Times New Roman"/>
          <w:szCs w:val="21"/>
        </w:rPr>
      </w:pPr>
      <w:r w:rsidRPr="001B3CBB">
        <w:rPr>
          <w:rFonts w:ascii="Times New Roman" w:hAnsi="Times New Roman"/>
          <w:kern w:val="0"/>
          <w:szCs w:val="21"/>
        </w:rPr>
        <w:t xml:space="preserve">The course </w:t>
      </w:r>
      <w:r w:rsidRPr="001B3CBB">
        <w:rPr>
          <w:rStyle w:val="tgt1"/>
          <w:rFonts w:ascii="Times New Roman" w:hAnsi="Times New Roman"/>
          <w:color w:val="2E3033"/>
          <w:szCs w:val="21"/>
        </w:rPr>
        <w:t>is to cultivate professionals engaged in the work of appraisal institution and set up a specialized course.</w:t>
      </w:r>
      <w:r w:rsidR="00B57B31">
        <w:rPr>
          <w:rStyle w:val="tgt1"/>
          <w:rFonts w:ascii="Times New Roman" w:hAnsi="Times New Roman" w:hint="eastAsia"/>
          <w:color w:val="2E3033"/>
          <w:szCs w:val="21"/>
        </w:rPr>
        <w:t>e</w:t>
      </w:r>
      <w:r w:rsidRPr="001B3CBB">
        <w:rPr>
          <w:rStyle w:val="tgt1"/>
          <w:rFonts w:ascii="Times New Roman" w:hAnsi="Times New Roman"/>
          <w:color w:val="2E3033"/>
          <w:szCs w:val="21"/>
        </w:rPr>
        <w:t>xpounds the theory of risk assessment, risk identification, risk analysis, risk evaluation, risk response, risk assessment, organization and implementation, etc.</w:t>
      </w:r>
    </w:p>
    <w:sectPr w:rsidR="00BB1ECD" w:rsidRPr="001B3CBB" w:rsidSect="001548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704" w:rsidRDefault="004C3704" w:rsidP="000E433D">
      <w:r>
        <w:separator/>
      </w:r>
    </w:p>
  </w:endnote>
  <w:endnote w:type="continuationSeparator" w:id="0">
    <w:p w:rsidR="004C3704" w:rsidRDefault="004C3704" w:rsidP="000E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704" w:rsidRDefault="004C3704" w:rsidP="000E433D">
      <w:r>
        <w:separator/>
      </w:r>
    </w:p>
  </w:footnote>
  <w:footnote w:type="continuationSeparator" w:id="0">
    <w:p w:rsidR="004C3704" w:rsidRDefault="004C3704" w:rsidP="000E4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702"/>
    <w:rsid w:val="000044A0"/>
    <w:rsid w:val="000057B4"/>
    <w:rsid w:val="000E433D"/>
    <w:rsid w:val="00115A81"/>
    <w:rsid w:val="00122632"/>
    <w:rsid w:val="00132677"/>
    <w:rsid w:val="00136521"/>
    <w:rsid w:val="00147CC4"/>
    <w:rsid w:val="001548DF"/>
    <w:rsid w:val="001A5A0C"/>
    <w:rsid w:val="001B3CBB"/>
    <w:rsid w:val="001F0385"/>
    <w:rsid w:val="002344C8"/>
    <w:rsid w:val="003366B2"/>
    <w:rsid w:val="00373E95"/>
    <w:rsid w:val="003B0B47"/>
    <w:rsid w:val="003F0641"/>
    <w:rsid w:val="004C3704"/>
    <w:rsid w:val="00571D36"/>
    <w:rsid w:val="0066379F"/>
    <w:rsid w:val="00750B07"/>
    <w:rsid w:val="0081319E"/>
    <w:rsid w:val="008F1086"/>
    <w:rsid w:val="00915C84"/>
    <w:rsid w:val="00A07CAB"/>
    <w:rsid w:val="00A93A57"/>
    <w:rsid w:val="00AD1354"/>
    <w:rsid w:val="00B20A75"/>
    <w:rsid w:val="00B57B31"/>
    <w:rsid w:val="00BB1ECD"/>
    <w:rsid w:val="00BC3552"/>
    <w:rsid w:val="00BF5CBF"/>
    <w:rsid w:val="00C64702"/>
    <w:rsid w:val="00CE1D63"/>
    <w:rsid w:val="00D9356C"/>
    <w:rsid w:val="00E922B8"/>
    <w:rsid w:val="00FA4DDE"/>
    <w:rsid w:val="00FD0A40"/>
    <w:rsid w:val="00FD4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DF0D40-206E-438C-9CC2-EAD7215B6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702"/>
    <w:pPr>
      <w:widowControl w:val="0"/>
      <w:jc w:val="both"/>
    </w:pPr>
    <w:rPr>
      <w:rFonts w:ascii="Calibri" w:hAnsi="Calibri"/>
      <w:kern w:val="2"/>
      <w:sz w:val="21"/>
      <w:szCs w:val="22"/>
    </w:rPr>
  </w:style>
  <w:style w:type="paragraph" w:styleId="2">
    <w:name w:val="heading 2"/>
    <w:basedOn w:val="a"/>
    <w:next w:val="a"/>
    <w:link w:val="2Char"/>
    <w:qFormat/>
    <w:rsid w:val="00C64702"/>
    <w:pPr>
      <w:keepNext/>
      <w:keepLines/>
      <w:spacing w:before="260" w:after="260" w:line="415" w:lineRule="auto"/>
      <w:outlineLvl w:val="1"/>
    </w:pPr>
    <w:rPr>
      <w:rFonts w:ascii="Cambria" w:hAnsi="Cambria" w:cs="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locked/>
    <w:rsid w:val="00C64702"/>
    <w:rPr>
      <w:rFonts w:ascii="Cambria" w:eastAsia="宋体" w:hAnsi="Cambria" w:cs="宋体"/>
      <w:b/>
      <w:bCs/>
      <w:kern w:val="2"/>
      <w:sz w:val="32"/>
      <w:szCs w:val="32"/>
      <w:lang w:val="en-US" w:eastAsia="zh-CN" w:bidi="ar-SA"/>
    </w:rPr>
  </w:style>
  <w:style w:type="character" w:customStyle="1" w:styleId="longtext1">
    <w:name w:val="long_text1"/>
    <w:basedOn w:val="a0"/>
    <w:rsid w:val="00C64702"/>
    <w:rPr>
      <w:rFonts w:ascii="Times New Roman" w:hAnsi="Times New Roman" w:cs="Times New Roman" w:hint="default"/>
      <w:sz w:val="20"/>
      <w:szCs w:val="20"/>
    </w:rPr>
  </w:style>
  <w:style w:type="paragraph" w:styleId="a3">
    <w:name w:val="Normal (Web)"/>
    <w:basedOn w:val="a"/>
    <w:rsid w:val="00373E95"/>
    <w:pPr>
      <w:widowControl/>
      <w:spacing w:before="100" w:beforeAutospacing="1" w:after="100" w:afterAutospacing="1"/>
      <w:jc w:val="left"/>
    </w:pPr>
    <w:rPr>
      <w:rFonts w:ascii="宋体" w:hAnsi="宋体"/>
      <w:color w:val="000000"/>
      <w:kern w:val="0"/>
      <w:sz w:val="24"/>
      <w:szCs w:val="24"/>
    </w:rPr>
  </w:style>
  <w:style w:type="paragraph" w:styleId="a4">
    <w:name w:val="header"/>
    <w:basedOn w:val="a"/>
    <w:link w:val="Char"/>
    <w:rsid w:val="000E4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0E433D"/>
    <w:rPr>
      <w:rFonts w:ascii="Calibri" w:hAnsi="Calibri"/>
      <w:kern w:val="2"/>
      <w:sz w:val="18"/>
      <w:szCs w:val="18"/>
    </w:rPr>
  </w:style>
  <w:style w:type="paragraph" w:styleId="a5">
    <w:name w:val="footer"/>
    <w:basedOn w:val="a"/>
    <w:link w:val="Char0"/>
    <w:rsid w:val="000E433D"/>
    <w:pPr>
      <w:tabs>
        <w:tab w:val="center" w:pos="4153"/>
        <w:tab w:val="right" w:pos="8306"/>
      </w:tabs>
      <w:snapToGrid w:val="0"/>
      <w:jc w:val="left"/>
    </w:pPr>
    <w:rPr>
      <w:sz w:val="18"/>
      <w:szCs w:val="18"/>
    </w:rPr>
  </w:style>
  <w:style w:type="character" w:customStyle="1" w:styleId="Char0">
    <w:name w:val="页脚 Char"/>
    <w:basedOn w:val="a0"/>
    <w:link w:val="a5"/>
    <w:rsid w:val="000E433D"/>
    <w:rPr>
      <w:rFonts w:ascii="Calibri" w:hAnsi="Calibri"/>
      <w:kern w:val="2"/>
      <w:sz w:val="18"/>
      <w:szCs w:val="18"/>
    </w:rPr>
  </w:style>
  <w:style w:type="paragraph" w:customStyle="1" w:styleId="tgt">
    <w:name w:val="tgt"/>
    <w:basedOn w:val="a"/>
    <w:rsid w:val="00BB1ECD"/>
    <w:pPr>
      <w:widowControl/>
      <w:spacing w:before="100" w:beforeAutospacing="1" w:after="100" w:afterAutospacing="1"/>
      <w:jc w:val="left"/>
    </w:pPr>
    <w:rPr>
      <w:rFonts w:ascii="宋体" w:hAnsi="宋体" w:cs="宋体"/>
      <w:kern w:val="0"/>
      <w:sz w:val="24"/>
      <w:szCs w:val="24"/>
    </w:rPr>
  </w:style>
  <w:style w:type="character" w:customStyle="1" w:styleId="tgt1">
    <w:name w:val="tgt1"/>
    <w:basedOn w:val="a0"/>
    <w:rsid w:val="00BB1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1839">
      <w:bodyDiv w:val="1"/>
      <w:marLeft w:val="0"/>
      <w:marRight w:val="0"/>
      <w:marTop w:val="0"/>
      <w:marBottom w:val="0"/>
      <w:divBdr>
        <w:top w:val="none" w:sz="0" w:space="0" w:color="auto"/>
        <w:left w:val="none" w:sz="0" w:space="0" w:color="auto"/>
        <w:bottom w:val="none" w:sz="0" w:space="0" w:color="auto"/>
        <w:right w:val="none" w:sz="0" w:space="0" w:color="auto"/>
      </w:divBdr>
    </w:div>
    <w:div w:id="345251049">
      <w:bodyDiv w:val="1"/>
      <w:marLeft w:val="0"/>
      <w:marRight w:val="0"/>
      <w:marTop w:val="0"/>
      <w:marBottom w:val="0"/>
      <w:divBdr>
        <w:top w:val="none" w:sz="0" w:space="0" w:color="auto"/>
        <w:left w:val="none" w:sz="0" w:space="0" w:color="auto"/>
        <w:bottom w:val="none" w:sz="0" w:space="0" w:color="auto"/>
        <w:right w:val="none" w:sz="0" w:space="0" w:color="auto"/>
      </w:divBdr>
    </w:div>
    <w:div w:id="1087380224">
      <w:bodyDiv w:val="1"/>
      <w:marLeft w:val="0"/>
      <w:marRight w:val="0"/>
      <w:marTop w:val="0"/>
      <w:marBottom w:val="0"/>
      <w:divBdr>
        <w:top w:val="none" w:sz="0" w:space="0" w:color="auto"/>
        <w:left w:val="none" w:sz="0" w:space="0" w:color="auto"/>
        <w:bottom w:val="none" w:sz="0" w:space="0" w:color="auto"/>
        <w:right w:val="none" w:sz="0" w:space="0" w:color="auto"/>
      </w:divBdr>
    </w:div>
    <w:div w:id="1346056449">
      <w:bodyDiv w:val="1"/>
      <w:marLeft w:val="0"/>
      <w:marRight w:val="0"/>
      <w:marTop w:val="0"/>
      <w:marBottom w:val="0"/>
      <w:divBdr>
        <w:top w:val="none" w:sz="0" w:space="0" w:color="auto"/>
        <w:left w:val="none" w:sz="0" w:space="0" w:color="auto"/>
        <w:bottom w:val="none" w:sz="0" w:space="0" w:color="auto"/>
        <w:right w:val="none" w:sz="0" w:space="0" w:color="auto"/>
      </w:divBdr>
    </w:div>
    <w:div w:id="1611624510">
      <w:bodyDiv w:val="1"/>
      <w:marLeft w:val="0"/>
      <w:marRight w:val="0"/>
      <w:marTop w:val="0"/>
      <w:marBottom w:val="0"/>
      <w:divBdr>
        <w:top w:val="none" w:sz="0" w:space="0" w:color="auto"/>
        <w:left w:val="none" w:sz="0" w:space="0" w:color="auto"/>
        <w:bottom w:val="none" w:sz="0" w:space="0" w:color="auto"/>
        <w:right w:val="none" w:sz="0" w:space="0" w:color="auto"/>
      </w:divBdr>
    </w:div>
    <w:div w:id="207442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1116</Characters>
  <Application>Microsoft Office Word</Application>
  <DocSecurity>0</DocSecurity>
  <Lines>9</Lines>
  <Paragraphs>2</Paragraphs>
  <ScaleCrop>false</ScaleCrop>
  <Company>微软用户</Company>
  <LinksUpToDate>false</LinksUpToDate>
  <CharactersWithSpaces>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《风险评估 》课程中英文简介</dc:title>
  <dc:subject/>
  <dc:creator>微软中国</dc:creator>
  <cp:keywords/>
  <dc:description/>
  <cp:lastModifiedBy>Dell</cp:lastModifiedBy>
  <cp:revision>2</cp:revision>
  <dcterms:created xsi:type="dcterms:W3CDTF">2017-11-22T02:44:00Z</dcterms:created>
  <dcterms:modified xsi:type="dcterms:W3CDTF">2017-11-22T02:44:00Z</dcterms:modified>
</cp:coreProperties>
</file>